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7261" w14:textId="3DBB3B8D" w:rsidR="00FA12B9" w:rsidRPr="00FA12B9" w:rsidRDefault="00FA12B9" w:rsidP="00FA12B9">
      <w:pPr>
        <w:pStyle w:val="Kop2"/>
        <w:numPr>
          <w:ilvl w:val="0"/>
          <w:numId w:val="0"/>
        </w:numPr>
        <w:ind w:left="851"/>
        <w:rPr>
          <w:rFonts w:cstheme="majorHAnsi"/>
          <w:szCs w:val="28"/>
        </w:rPr>
      </w:pPr>
      <w:bookmarkStart w:id="0" w:name="_Ref34821433"/>
      <w:r w:rsidRPr="00FA12B9">
        <w:rPr>
          <w:rFonts w:cstheme="majorHAnsi"/>
          <w:szCs w:val="28"/>
        </w:rPr>
        <w:t>Uitwerkingen verwerkingsopgaven</w:t>
      </w:r>
      <w:bookmarkEnd w:id="0"/>
      <w:r w:rsidRPr="00FA12B9">
        <w:rPr>
          <w:rFonts w:cstheme="majorHAnsi"/>
          <w:szCs w:val="28"/>
        </w:rPr>
        <w:t xml:space="preserve"> Hoofdstuk 2 Cellen</w:t>
      </w:r>
    </w:p>
    <w:p w14:paraId="3EAC403D" w14:textId="77777777" w:rsidR="00FA12B9" w:rsidRPr="00FA12B9" w:rsidRDefault="00FA12B9" w:rsidP="00FA12B9">
      <w:pPr>
        <w:pStyle w:val="Heading"/>
        <w:rPr>
          <w:rFonts w:cstheme="majorHAnsi"/>
          <w:sz w:val="28"/>
          <w:szCs w:val="28"/>
        </w:rPr>
      </w:pPr>
    </w:p>
    <w:p w14:paraId="56863289" w14:textId="77777777" w:rsidR="00FA12B9" w:rsidRPr="00FA12B9" w:rsidRDefault="00FA12B9" w:rsidP="00FA12B9">
      <w:pPr>
        <w:pStyle w:val="Answers"/>
        <w:jc w:val="left"/>
        <w:rPr>
          <w:rFonts w:asciiTheme="majorHAnsi" w:hAnsiTheme="majorHAnsi" w:cstheme="majorHAnsi"/>
          <w:sz w:val="28"/>
          <w:szCs w:val="28"/>
        </w:rPr>
      </w:pPr>
      <w:r w:rsidRPr="00FA12B9">
        <w:rPr>
          <w:rFonts w:asciiTheme="majorHAnsi" w:hAnsiTheme="majorHAnsi" w:cstheme="majorHAnsi"/>
          <w:sz w:val="28"/>
          <w:szCs w:val="28"/>
        </w:rPr>
        <w:t>1. a productie van eiwitten (aminozuurketens)</w:t>
      </w:r>
      <w:r w:rsidRPr="00FA12B9">
        <w:rPr>
          <w:rFonts w:asciiTheme="majorHAnsi" w:hAnsiTheme="majorHAnsi" w:cstheme="majorHAnsi"/>
          <w:sz w:val="28"/>
          <w:szCs w:val="28"/>
        </w:rPr>
        <w:br/>
        <w:t>b. Vouwing van aminozuurketens tot uiteindelijke eiwitten</w:t>
      </w:r>
      <w:r w:rsidRPr="00FA12B9">
        <w:rPr>
          <w:rFonts w:asciiTheme="majorHAnsi" w:hAnsiTheme="majorHAnsi" w:cstheme="majorHAnsi"/>
          <w:sz w:val="28"/>
          <w:szCs w:val="28"/>
        </w:rPr>
        <w:br/>
        <w:t>c. Afmaken van eiwitten en ‘inpakken’ voor verzending naar andere cellen</w:t>
      </w:r>
      <w:r w:rsidRPr="00FA12B9">
        <w:rPr>
          <w:rFonts w:asciiTheme="majorHAnsi" w:hAnsiTheme="majorHAnsi" w:cstheme="majorHAnsi"/>
          <w:sz w:val="28"/>
          <w:szCs w:val="28"/>
        </w:rPr>
        <w:br/>
        <w:t>d. Energie leveren voor de cel</w:t>
      </w:r>
      <w:r w:rsidRPr="00FA12B9">
        <w:rPr>
          <w:rFonts w:asciiTheme="majorHAnsi" w:hAnsiTheme="majorHAnsi" w:cstheme="majorHAnsi"/>
          <w:sz w:val="28"/>
          <w:szCs w:val="28"/>
        </w:rPr>
        <w:br/>
        <w:t>e. Afval uit de cel afbreken</w:t>
      </w:r>
    </w:p>
    <w:p w14:paraId="754D8D67" w14:textId="77777777" w:rsidR="00FA12B9" w:rsidRPr="00FA12B9" w:rsidRDefault="00FA12B9" w:rsidP="00FA12B9">
      <w:pPr>
        <w:pStyle w:val="Answers"/>
        <w:jc w:val="left"/>
        <w:rPr>
          <w:rFonts w:asciiTheme="majorHAnsi" w:hAnsiTheme="majorHAnsi" w:cstheme="majorHAnsi"/>
          <w:sz w:val="28"/>
          <w:szCs w:val="28"/>
        </w:rPr>
      </w:pPr>
      <w:r w:rsidRPr="00FA12B9">
        <w:rPr>
          <w:rFonts w:asciiTheme="majorHAnsi" w:hAnsiTheme="majorHAnsi" w:cstheme="majorHAnsi"/>
          <w:sz w:val="28"/>
          <w:szCs w:val="28"/>
        </w:rPr>
        <w:t>2. plantaardige cellen hebben:</w:t>
      </w:r>
      <w:r w:rsidRPr="00FA12B9">
        <w:rPr>
          <w:rFonts w:asciiTheme="majorHAnsi" w:hAnsiTheme="majorHAnsi" w:cstheme="majorHAnsi"/>
          <w:sz w:val="28"/>
          <w:szCs w:val="28"/>
        </w:rPr>
        <w:br/>
        <w:t>- een celwand</w:t>
      </w:r>
      <w:r w:rsidRPr="00FA12B9">
        <w:rPr>
          <w:rFonts w:asciiTheme="majorHAnsi" w:hAnsiTheme="majorHAnsi" w:cstheme="majorHAnsi"/>
          <w:sz w:val="28"/>
          <w:szCs w:val="28"/>
        </w:rPr>
        <w:br/>
        <w:t>- een grote, centrale vacuole</w:t>
      </w:r>
      <w:r w:rsidRPr="00FA12B9">
        <w:rPr>
          <w:rFonts w:asciiTheme="majorHAnsi" w:hAnsiTheme="majorHAnsi" w:cstheme="majorHAnsi"/>
          <w:sz w:val="28"/>
          <w:szCs w:val="28"/>
        </w:rPr>
        <w:br/>
        <w:t xml:space="preserve">- </w:t>
      </w:r>
      <w:proofErr w:type="spellStart"/>
      <w:r w:rsidRPr="00FA12B9">
        <w:rPr>
          <w:rFonts w:asciiTheme="majorHAnsi" w:hAnsiTheme="majorHAnsi" w:cstheme="majorHAnsi"/>
          <w:sz w:val="28"/>
          <w:szCs w:val="28"/>
        </w:rPr>
        <w:t>plastiden</w:t>
      </w:r>
      <w:proofErr w:type="spellEnd"/>
      <w:r w:rsidRPr="00FA12B9">
        <w:rPr>
          <w:rFonts w:asciiTheme="majorHAnsi" w:hAnsiTheme="majorHAnsi" w:cstheme="majorHAnsi"/>
          <w:sz w:val="28"/>
          <w:szCs w:val="28"/>
        </w:rPr>
        <w:br/>
        <w:t>- geen lysosomen</w:t>
      </w:r>
    </w:p>
    <w:p w14:paraId="3B36AE3E" w14:textId="77777777" w:rsidR="00FA12B9" w:rsidRPr="00FA12B9" w:rsidRDefault="00FA12B9" w:rsidP="00FA12B9">
      <w:pPr>
        <w:pStyle w:val="Answers"/>
        <w:jc w:val="left"/>
        <w:rPr>
          <w:rFonts w:asciiTheme="majorHAnsi" w:hAnsiTheme="majorHAnsi" w:cstheme="majorHAnsi"/>
          <w:sz w:val="28"/>
          <w:szCs w:val="28"/>
        </w:rPr>
      </w:pPr>
      <w:r w:rsidRPr="00FA12B9">
        <w:rPr>
          <w:rFonts w:asciiTheme="majorHAnsi" w:hAnsiTheme="majorHAnsi" w:cstheme="majorHAnsi"/>
          <w:sz w:val="28"/>
          <w:szCs w:val="28"/>
        </w:rPr>
        <w:t>3. a. vetten: via de celmembraan</w:t>
      </w:r>
      <w:r w:rsidRPr="00FA12B9">
        <w:rPr>
          <w:rFonts w:asciiTheme="majorHAnsi" w:hAnsiTheme="majorHAnsi" w:cstheme="majorHAnsi"/>
          <w:sz w:val="28"/>
          <w:szCs w:val="28"/>
        </w:rPr>
        <w:br/>
        <w:t>b. ionen: via eiwitkanalen</w:t>
      </w:r>
      <w:r w:rsidRPr="00FA12B9">
        <w:rPr>
          <w:rFonts w:asciiTheme="majorHAnsi" w:hAnsiTheme="majorHAnsi" w:cstheme="majorHAnsi"/>
          <w:sz w:val="28"/>
          <w:szCs w:val="28"/>
        </w:rPr>
        <w:br/>
        <w:t xml:space="preserve">c. zouten: via </w:t>
      </w:r>
      <w:proofErr w:type="spellStart"/>
      <w:r w:rsidRPr="00FA12B9">
        <w:rPr>
          <w:rFonts w:asciiTheme="majorHAnsi" w:hAnsiTheme="majorHAnsi" w:cstheme="majorHAnsi"/>
          <w:sz w:val="28"/>
          <w:szCs w:val="28"/>
        </w:rPr>
        <w:t>eiwitkanelen</w:t>
      </w:r>
      <w:proofErr w:type="spellEnd"/>
      <w:r w:rsidRPr="00FA12B9">
        <w:rPr>
          <w:rFonts w:asciiTheme="majorHAnsi" w:hAnsiTheme="majorHAnsi" w:cstheme="majorHAnsi"/>
          <w:sz w:val="28"/>
          <w:szCs w:val="28"/>
        </w:rPr>
        <w:t xml:space="preserve"> </w:t>
      </w:r>
      <w:r w:rsidRPr="00FA12B9">
        <w:rPr>
          <w:rFonts w:asciiTheme="majorHAnsi" w:hAnsiTheme="majorHAnsi" w:cstheme="majorHAnsi"/>
          <w:sz w:val="28"/>
          <w:szCs w:val="28"/>
        </w:rPr>
        <w:br/>
        <w:t>d. water: via eiwitkanalen</w:t>
      </w:r>
      <w:r w:rsidRPr="00FA12B9">
        <w:rPr>
          <w:rFonts w:asciiTheme="majorHAnsi" w:hAnsiTheme="majorHAnsi" w:cstheme="majorHAnsi"/>
          <w:sz w:val="28"/>
          <w:szCs w:val="28"/>
        </w:rPr>
        <w:br/>
        <w:t>e. eiwitten: via blaasjes (</w:t>
      </w:r>
      <w:proofErr w:type="spellStart"/>
      <w:r w:rsidRPr="00FA12B9">
        <w:rPr>
          <w:rFonts w:asciiTheme="majorHAnsi" w:hAnsiTheme="majorHAnsi" w:cstheme="majorHAnsi"/>
          <w:sz w:val="28"/>
          <w:szCs w:val="28"/>
        </w:rPr>
        <w:t>endocytose</w:t>
      </w:r>
      <w:proofErr w:type="spellEnd"/>
      <w:r w:rsidRPr="00FA12B9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FA12B9">
        <w:rPr>
          <w:rFonts w:asciiTheme="majorHAnsi" w:hAnsiTheme="majorHAnsi" w:cstheme="majorHAnsi"/>
          <w:sz w:val="28"/>
          <w:szCs w:val="28"/>
        </w:rPr>
        <w:t>exocytose</w:t>
      </w:r>
      <w:proofErr w:type="spellEnd"/>
      <w:r w:rsidRPr="00FA12B9">
        <w:rPr>
          <w:rFonts w:asciiTheme="majorHAnsi" w:hAnsiTheme="majorHAnsi" w:cstheme="majorHAnsi"/>
          <w:sz w:val="28"/>
          <w:szCs w:val="28"/>
        </w:rPr>
        <w:t>)</w:t>
      </w:r>
    </w:p>
    <w:p w14:paraId="3BC743E2" w14:textId="77777777" w:rsidR="00FA12B9" w:rsidRPr="00FA12B9" w:rsidRDefault="00FA12B9" w:rsidP="00FA12B9">
      <w:pPr>
        <w:pStyle w:val="Answers"/>
        <w:jc w:val="left"/>
        <w:rPr>
          <w:rFonts w:asciiTheme="majorHAnsi" w:hAnsiTheme="majorHAnsi" w:cstheme="majorHAnsi"/>
          <w:sz w:val="28"/>
          <w:szCs w:val="28"/>
        </w:rPr>
      </w:pPr>
      <w:r w:rsidRPr="00FA12B9">
        <w:rPr>
          <w:rFonts w:asciiTheme="majorHAnsi" w:hAnsiTheme="majorHAnsi" w:cstheme="majorHAnsi"/>
          <w:sz w:val="28"/>
          <w:szCs w:val="28"/>
        </w:rPr>
        <w:t xml:space="preserve">4. In een </w:t>
      </w:r>
      <w:proofErr w:type="spellStart"/>
      <w:r w:rsidRPr="00FA12B9">
        <w:rPr>
          <w:rFonts w:asciiTheme="majorHAnsi" w:hAnsiTheme="majorHAnsi" w:cstheme="majorHAnsi"/>
          <w:sz w:val="28"/>
          <w:szCs w:val="28"/>
        </w:rPr>
        <w:t>hypertone</w:t>
      </w:r>
      <w:proofErr w:type="spellEnd"/>
      <w:r w:rsidRPr="00FA12B9">
        <w:rPr>
          <w:rFonts w:asciiTheme="majorHAnsi" w:hAnsiTheme="majorHAnsi" w:cstheme="majorHAnsi"/>
          <w:sz w:val="28"/>
          <w:szCs w:val="28"/>
        </w:rPr>
        <w:t xml:space="preserve"> situatie geeft de cel vocht af aan de omgeving. Het volume van de cel neemt dus af.</w:t>
      </w:r>
    </w:p>
    <w:p w14:paraId="66841A41" w14:textId="77777777" w:rsidR="00FA12B9" w:rsidRPr="00FA12B9" w:rsidRDefault="00FA12B9" w:rsidP="00FA12B9">
      <w:pPr>
        <w:pStyle w:val="Answers"/>
        <w:jc w:val="left"/>
        <w:rPr>
          <w:rFonts w:asciiTheme="majorHAnsi" w:hAnsiTheme="majorHAnsi" w:cstheme="majorHAnsi"/>
          <w:sz w:val="28"/>
          <w:szCs w:val="28"/>
        </w:rPr>
      </w:pPr>
      <w:r w:rsidRPr="00FA12B9">
        <w:rPr>
          <w:rFonts w:asciiTheme="majorHAnsi" w:hAnsiTheme="majorHAnsi" w:cstheme="majorHAnsi"/>
          <w:sz w:val="28"/>
          <w:szCs w:val="28"/>
        </w:rPr>
        <w:t xml:space="preserve">5. Een </w:t>
      </w:r>
      <w:proofErr w:type="spellStart"/>
      <w:r w:rsidRPr="00FA12B9">
        <w:rPr>
          <w:rFonts w:asciiTheme="majorHAnsi" w:hAnsiTheme="majorHAnsi" w:cstheme="majorHAnsi"/>
          <w:sz w:val="28"/>
          <w:szCs w:val="28"/>
        </w:rPr>
        <w:t>hypertone</w:t>
      </w:r>
      <w:proofErr w:type="spellEnd"/>
      <w:r w:rsidRPr="00FA12B9">
        <w:rPr>
          <w:rFonts w:asciiTheme="majorHAnsi" w:hAnsiTheme="majorHAnsi" w:cstheme="majorHAnsi"/>
          <w:sz w:val="28"/>
          <w:szCs w:val="28"/>
        </w:rPr>
        <w:t xml:space="preserve"> cel zal water opnemen uit de omgeving. Er gaat dus water de cel in.</w:t>
      </w:r>
    </w:p>
    <w:p w14:paraId="036A55B7" w14:textId="77777777" w:rsidR="00365FFD" w:rsidRDefault="00365FFD"/>
    <w:sectPr w:rsidR="003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930FE"/>
    <w:multiLevelType w:val="multilevel"/>
    <w:tmpl w:val="57B2A80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99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B9"/>
    <w:rsid w:val="000F7C21"/>
    <w:rsid w:val="00365FFD"/>
    <w:rsid w:val="005D0561"/>
    <w:rsid w:val="00F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6140"/>
  <w15:chartTrackingRefBased/>
  <w15:docId w15:val="{B2E89800-F2F1-48EA-9742-A65ECD6F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Standaard"/>
    <w:link w:val="Kop1Char"/>
    <w:uiPriority w:val="9"/>
    <w:qFormat/>
    <w:rsid w:val="00FA12B9"/>
    <w:pPr>
      <w:keepLines/>
      <w:numPr>
        <w:numId w:val="1"/>
      </w:numPr>
      <w:spacing w:before="480" w:after="480"/>
      <w:outlineLvl w:val="0"/>
    </w:pPr>
    <w:rPr>
      <w:rFonts w:eastAsiaTheme="majorEastAsia" w:cstheme="majorBidi"/>
      <w:sz w:val="40"/>
      <w:szCs w:val="32"/>
    </w:rPr>
  </w:style>
  <w:style w:type="paragraph" w:styleId="Kop2">
    <w:name w:val="heading 2"/>
    <w:basedOn w:val="Heading"/>
    <w:next w:val="Standaard"/>
    <w:link w:val="Kop2Char"/>
    <w:uiPriority w:val="9"/>
    <w:unhideWhenUsed/>
    <w:qFormat/>
    <w:rsid w:val="00FA12B9"/>
    <w:pPr>
      <w:keepLines/>
      <w:numPr>
        <w:ilvl w:val="1"/>
        <w:numId w:val="1"/>
      </w:numPr>
      <w:outlineLvl w:val="1"/>
    </w:pPr>
    <w:rPr>
      <w:rFonts w:eastAsiaTheme="majorEastAsia" w:cstheme="majorBidi"/>
      <w:sz w:val="28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12B9"/>
    <w:pPr>
      <w:keepNext/>
      <w:keepLines/>
      <w:numPr>
        <w:ilvl w:val="4"/>
        <w:numId w:val="1"/>
      </w:numPr>
      <w:spacing w:before="40" w:after="0" w:line="30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12B9"/>
    <w:pPr>
      <w:keepNext/>
      <w:keepLines/>
      <w:numPr>
        <w:ilvl w:val="5"/>
        <w:numId w:val="1"/>
      </w:numPr>
      <w:spacing w:before="40" w:after="0" w:line="30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12B9"/>
    <w:pPr>
      <w:keepNext/>
      <w:keepLines/>
      <w:numPr>
        <w:ilvl w:val="6"/>
        <w:numId w:val="1"/>
      </w:numPr>
      <w:spacing w:before="40" w:after="0" w:line="30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12B9"/>
    <w:pPr>
      <w:keepNext/>
      <w:keepLines/>
      <w:numPr>
        <w:ilvl w:val="7"/>
        <w:numId w:val="1"/>
      </w:numPr>
      <w:spacing w:before="40" w:after="0" w:line="30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A12B9"/>
    <w:pPr>
      <w:keepNext/>
      <w:keepLines/>
      <w:numPr>
        <w:ilvl w:val="8"/>
        <w:numId w:val="1"/>
      </w:numPr>
      <w:spacing w:before="40" w:after="0" w:line="30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Geenafstand"/>
    <w:qFormat/>
    <w:rsid w:val="00FA12B9"/>
    <w:pPr>
      <w:keepNext/>
      <w:spacing w:before="240" w:after="120" w:line="300" w:lineRule="auto"/>
    </w:pPr>
    <w:rPr>
      <w:rFonts w:asciiTheme="majorHAnsi" w:hAnsiTheme="majorHAnsi"/>
      <w:b/>
      <w:color w:val="404040" w:themeColor="text1" w:themeTint="BF"/>
      <w:sz w:val="21"/>
      <w:szCs w:val="24"/>
    </w:rPr>
  </w:style>
  <w:style w:type="paragraph" w:customStyle="1" w:styleId="Answers">
    <w:name w:val="Answers"/>
    <w:basedOn w:val="Standaard"/>
    <w:qFormat/>
    <w:rsid w:val="00FA12B9"/>
    <w:pPr>
      <w:spacing w:after="0" w:line="240" w:lineRule="auto"/>
      <w:jc w:val="both"/>
    </w:pPr>
    <w:rPr>
      <w:color w:val="404040" w:themeColor="text1" w:themeTint="BF"/>
      <w:sz w:val="18"/>
      <w:szCs w:val="24"/>
    </w:rPr>
  </w:style>
  <w:style w:type="paragraph" w:styleId="Geenafstand">
    <w:name w:val="No Spacing"/>
    <w:uiPriority w:val="1"/>
    <w:qFormat/>
    <w:rsid w:val="00FA12B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A12B9"/>
    <w:rPr>
      <w:rFonts w:asciiTheme="majorHAnsi" w:eastAsiaTheme="majorEastAsia" w:hAnsiTheme="majorHAnsi" w:cstheme="majorBidi"/>
      <w:b/>
      <w:color w:val="404040" w:themeColor="text1" w:themeTint="BF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A12B9"/>
    <w:rPr>
      <w:rFonts w:asciiTheme="majorHAnsi" w:eastAsiaTheme="majorEastAsia" w:hAnsiTheme="majorHAnsi" w:cstheme="majorBidi"/>
      <w:b/>
      <w:color w:val="404040" w:themeColor="text1" w:themeTint="BF"/>
      <w:sz w:val="28"/>
      <w:szCs w:val="26"/>
    </w:rPr>
  </w:style>
  <w:style w:type="character" w:customStyle="1" w:styleId="Kop5Char">
    <w:name w:val="Kop 5 Char"/>
    <w:basedOn w:val="Standaardalinea-lettertype"/>
    <w:link w:val="Kop5"/>
    <w:uiPriority w:val="9"/>
    <w:rsid w:val="00FA12B9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12B9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12B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12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FA12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2020-09-16T09:23:00Z</dcterms:created>
  <dcterms:modified xsi:type="dcterms:W3CDTF">2020-09-16T09:25:00Z</dcterms:modified>
</cp:coreProperties>
</file>