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7E4C7" w14:textId="2EB02CDA" w:rsidR="00F33FE2" w:rsidRPr="00C2552B" w:rsidRDefault="00F33FE2" w:rsidP="00F33FE2">
      <w:pPr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Ref34821433"/>
      <w:r w:rsidRPr="00C2552B">
        <w:rPr>
          <w:rFonts w:asciiTheme="majorHAnsi" w:hAnsiTheme="majorHAnsi" w:cstheme="majorHAnsi"/>
          <w:b/>
          <w:bCs/>
          <w:sz w:val="28"/>
          <w:szCs w:val="28"/>
        </w:rPr>
        <w:t>Uitwerkingen verwerkingsopgaven</w:t>
      </w:r>
      <w:bookmarkEnd w:id="0"/>
      <w:r w:rsidRPr="00C2552B">
        <w:rPr>
          <w:rFonts w:asciiTheme="majorHAnsi" w:hAnsiTheme="majorHAnsi" w:cstheme="majorHAnsi"/>
          <w:b/>
          <w:bCs/>
          <w:sz w:val="28"/>
          <w:szCs w:val="28"/>
        </w:rPr>
        <w:t xml:space="preserve"> Hoofdstuk 1</w:t>
      </w:r>
      <w:r w:rsidRPr="00C2552B">
        <w:rPr>
          <w:rFonts w:asciiTheme="majorHAnsi" w:hAnsiTheme="majorHAnsi" w:cstheme="majorHAnsi"/>
          <w:b/>
          <w:bCs/>
          <w:sz w:val="28"/>
          <w:szCs w:val="28"/>
        </w:rPr>
        <w:t xml:space="preserve">8 </w:t>
      </w:r>
      <w:r w:rsidRPr="00C2552B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Magnetisme</w:t>
      </w:r>
    </w:p>
    <w:p w14:paraId="1873AF0D" w14:textId="77777777" w:rsidR="00F33FE2" w:rsidRPr="00F33FE2" w:rsidRDefault="00F33FE2" w:rsidP="00F33FE2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290F3F58" w14:textId="06E13A60" w:rsidR="00F33FE2" w:rsidRDefault="00F33FE2" w:rsidP="00F33FE2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>1. a.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F33FE2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Naar rechts.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Pas de eerste rechterhandregel toe. Houd je rechterhand met vingers omhoog, palm naar je toe. Je duim steekt dan uit naar rechts (</w:t>
      </w:r>
      <w:r w:rsidRPr="00F33FE2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I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>) en je vingers buigen naar voren (</w:t>
      </w:r>
      <w:r w:rsidRPr="00F33FE2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B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>).</w:t>
      </w:r>
    </w:p>
    <w:p w14:paraId="0989353E" w14:textId="77777777" w:rsidR="00C2552B" w:rsidRPr="00F33FE2" w:rsidRDefault="00C2552B" w:rsidP="00F33FE2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48FDE098" w14:textId="6FCC401F" w:rsidR="00F33FE2" w:rsidRDefault="00F33FE2" w:rsidP="00F33FE2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 b.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F33FE2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 xml:space="preserve">8,0 </w:t>
      </w:r>
      <w:proofErr w:type="spellStart"/>
      <w:r w:rsidRPr="00F33FE2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mT</w:t>
      </w:r>
      <w:proofErr w:type="spellEnd"/>
      <w:r w:rsidRPr="00F33FE2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 xml:space="preserve"> naar boven.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Rechterhand regel op gelijke wijze: je vingers wijzen achterlangs naar boven. Uit </w:t>
      </w:r>
      <m:oMath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B</m:t>
        </m:r>
        <m:r>
          <m:rPr>
            <m:sty m:val="p"/>
          </m:rP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=</m:t>
        </m:r>
        <m:f>
          <m:fPr>
            <m:ctrl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  <w:lang w:val="el-GR"/>
                  </w:rPr>
                  <m:t>μ</m:t>
                </m:r>
                <m:ctrlP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  <w:lang w:val="el-GR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2</m:t>
            </m:r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l-GR"/>
              </w:rPr>
              <m:t>π</m:t>
            </m:r>
          </m:den>
        </m:f>
        <m:r>
          <m:rPr>
            <m:sty m:val="p"/>
          </m:rP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∙</m:t>
        </m:r>
        <m:f>
          <m:fPr>
            <m:ctrl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I</m:t>
            </m:r>
          </m:num>
          <m:den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d</m:t>
            </m:r>
          </m:den>
        </m:f>
      </m:oMath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zien wij dat deling van </w:t>
      </w:r>
      <w:r w:rsidRPr="00F33FE2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d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door 4 leidt tot vermenigvuldiging van </w:t>
      </w:r>
      <w:r w:rsidRPr="00F33FE2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B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met 4.</w:t>
      </w:r>
    </w:p>
    <w:p w14:paraId="09C4D2BC" w14:textId="77777777" w:rsidR="00C2552B" w:rsidRPr="00F33FE2" w:rsidRDefault="00C2552B" w:rsidP="00F33FE2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4E9E07F3" w14:textId="77777777" w:rsidR="00F33FE2" w:rsidRPr="00F33FE2" w:rsidRDefault="00F33FE2" w:rsidP="00F33FE2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>2.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Aangezien de noordpool van het kompas wordt aangetrokken door de elektromagneet (de spoel), bevindt de zuidpool van de elektromagneet zich links. Het veld </w:t>
      </w:r>
      <w:r w:rsidRPr="00F33FE2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buiten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de spoel loopt dus van rechts naar links; het veld </w:t>
      </w:r>
      <w:r w:rsidRPr="00F33FE2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binnen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de spoel van links naar rechts.</w:t>
      </w:r>
    </w:p>
    <w:p w14:paraId="1FA3E23A" w14:textId="77777777" w:rsidR="00F33FE2" w:rsidRPr="00F33FE2" w:rsidRDefault="00F33FE2" w:rsidP="00F33FE2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Gebruik de tweede rechterhandregel, duim naar rechts. De vingers wijzen in de stroomrichting: voor de spoel langs omlaag. Uit de afbeelding ziet van dat de stroom van links naar rechts door het gewonden draad moet lopen. Maar stroom loopt van (+) naar (–). Dus zit de (+) van de batterij links en de (–) rechts.</w:t>
      </w:r>
    </w:p>
    <w:p w14:paraId="6D2A8297" w14:textId="77777777" w:rsidR="00F33FE2" w:rsidRPr="00F33FE2" w:rsidRDefault="00F33FE2" w:rsidP="00F33FE2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12E0CB8D" w14:textId="451FC620" w:rsidR="00F33FE2" w:rsidRDefault="00F33FE2" w:rsidP="00F33FE2">
      <w:pPr>
        <w:spacing w:before="0" w:after="0" w:line="240" w:lineRule="auto"/>
        <w:jc w:val="center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F33FE2">
        <w:rPr>
          <w:rFonts w:asciiTheme="majorHAnsi" w:eastAsia="Palatino Linotype" w:hAnsiTheme="majorHAnsi" w:cstheme="majorHAnsi"/>
          <w:noProof/>
          <w:color w:val="404040"/>
          <w:sz w:val="28"/>
          <w:szCs w:val="28"/>
        </w:rPr>
        <w:drawing>
          <wp:inline distT="0" distB="0" distL="0" distR="0" wp14:anchorId="3AA8CAC0" wp14:editId="7876EC88">
            <wp:extent cx="2743200" cy="1460500"/>
            <wp:effectExtent l="0" t="0" r="0" b="6350"/>
            <wp:docPr id="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083CD" w14:textId="77777777" w:rsidR="00C2552B" w:rsidRPr="00F33FE2" w:rsidRDefault="00C2552B" w:rsidP="00F33FE2">
      <w:pPr>
        <w:spacing w:before="0" w:after="0" w:line="240" w:lineRule="auto"/>
        <w:jc w:val="center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54ED9AE4" w14:textId="77777777" w:rsidR="00F33FE2" w:rsidRPr="00F33FE2" w:rsidRDefault="00F33FE2" w:rsidP="00F33FE2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3A5BFF49" w14:textId="01CD48EF" w:rsidR="00F33FE2" w:rsidRDefault="00F33FE2" w:rsidP="00F33FE2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>3. a.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F33FE2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Naar links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. De Lorentzkracht levert de benodigde </w:t>
      </w:r>
      <w:proofErr w:type="spellStart"/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>centripetaalkracht</w:t>
      </w:r>
      <w:proofErr w:type="spellEnd"/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en is dus naar het midden van de cirkelbaan gericht.</w:t>
      </w:r>
    </w:p>
    <w:p w14:paraId="3B73BD3C" w14:textId="77777777" w:rsidR="00C2552B" w:rsidRPr="00F33FE2" w:rsidRDefault="00C2552B" w:rsidP="00F33FE2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765D60EB" w14:textId="77777777" w:rsidR="00F33FE2" w:rsidRPr="00F33FE2" w:rsidRDefault="00F33FE2" w:rsidP="00F33FE2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 b.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F33FE2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Tegen de klok in.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Pas de derde rechterhandregel toe: de duim naar links (</w:t>
      </w:r>
      <w:r w:rsidRPr="00F33FE2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F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>), de middelvinger naar voren (</w:t>
      </w:r>
      <w:r w:rsidRPr="00F33FE2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B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>), en de wijsvinger naar onderen (</w:t>
      </w:r>
      <w:r w:rsidRPr="00F33FE2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I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). Als de stroomrichting naar onderen is, loopt het negatieve ion naar boven. </w:t>
      </w:r>
    </w:p>
    <w:p w14:paraId="775C098F" w14:textId="77777777" w:rsidR="00F33FE2" w:rsidRPr="00F33FE2" w:rsidRDefault="00F33FE2" w:rsidP="00F33FE2">
      <w:pPr>
        <w:spacing w:before="0" w:after="0" w:line="240" w:lineRule="auto"/>
        <w:jc w:val="righ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F33FE2">
        <w:rPr>
          <w:rFonts w:asciiTheme="majorHAnsi" w:eastAsia="Palatino Linotype" w:hAnsiTheme="majorHAnsi" w:cstheme="majorHAnsi"/>
          <w:noProof/>
          <w:color w:val="404040"/>
          <w:sz w:val="28"/>
          <w:szCs w:val="28"/>
        </w:rPr>
        <w:drawing>
          <wp:inline distT="0" distB="0" distL="0" distR="0" wp14:anchorId="055D13DF" wp14:editId="5ED00C3B">
            <wp:extent cx="831850" cy="971550"/>
            <wp:effectExtent l="0" t="0" r="6350" b="0"/>
            <wp:docPr id="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F33FE2">
        <w:rPr>
          <w:rFonts w:asciiTheme="majorHAnsi" w:eastAsia="Palatino Linotype" w:hAnsiTheme="majorHAnsi" w:cstheme="majorHAnsi"/>
          <w:noProof/>
          <w:color w:val="404040"/>
          <w:sz w:val="28"/>
          <w:szCs w:val="28"/>
        </w:rPr>
        <w:drawing>
          <wp:inline distT="0" distB="0" distL="0" distR="0" wp14:anchorId="6E721271" wp14:editId="293A5F2E">
            <wp:extent cx="1066800" cy="1003300"/>
            <wp:effectExtent l="0" t="0" r="0" b="6350"/>
            <wp:docPr id="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7AC43" w14:textId="622F7A6B" w:rsidR="00F33FE2" w:rsidRDefault="00F33FE2" w:rsidP="00F33FE2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lastRenderedPageBreak/>
        <w:t xml:space="preserve">    c.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F33FE2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Wordt gehalveerd.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</w:t>
      </w:r>
      <w:r w:rsidRPr="00F33FE2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Methode 1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. De cyclotronvergelijking, </w:t>
      </w:r>
      <w:r w:rsidRPr="00F33FE2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r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w:r w:rsidRPr="00F33FE2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mv/</w:t>
      </w:r>
      <w:proofErr w:type="spellStart"/>
      <w:r w:rsidRPr="00F33FE2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qB</w:t>
      </w:r>
      <w:proofErr w:type="spellEnd"/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, laat onmiddellijk zien dat verdubbeling van </w:t>
      </w:r>
      <w:r w:rsidRPr="00F33FE2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B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tot halvering van </w:t>
      </w:r>
      <w:r w:rsidRPr="00F33FE2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r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leidt. </w:t>
      </w:r>
      <w:r w:rsidRPr="00F33FE2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Methode 2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. Verdubbeling van </w:t>
      </w:r>
      <w:r w:rsidRPr="00F33FE2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B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leidt tot een verdubbelde Lorentzkracht. Voor de </w:t>
      </w:r>
      <w:proofErr w:type="spellStart"/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>centripetaalkracht</w:t>
      </w:r>
      <w:proofErr w:type="spellEnd"/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geldt </w:t>
      </w:r>
      <w:r w:rsidRPr="00F33FE2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F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w:r w:rsidRPr="00F33FE2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mv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>/</w:t>
      </w:r>
      <w:r w:rsidRPr="00F33FE2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r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; als </w:t>
      </w:r>
      <w:r w:rsidRPr="00F33FE2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F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verdubbelt, wordt </w:t>
      </w:r>
      <w:r w:rsidRPr="00F33FE2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r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dus gehalveerd.</w:t>
      </w:r>
    </w:p>
    <w:p w14:paraId="5278409F" w14:textId="77777777" w:rsidR="00C2552B" w:rsidRPr="00F33FE2" w:rsidRDefault="00C2552B" w:rsidP="00F33FE2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72C83CCF" w14:textId="6A540739" w:rsidR="00F33FE2" w:rsidRDefault="00F33FE2" w:rsidP="00F33FE2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 d.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F33FE2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Wordt gehalveerd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. </w:t>
      </w:r>
      <w:r w:rsidRPr="00F33FE2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Methode 1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. Opnieuw volgt het antwoord onmiddellijk uit </w:t>
      </w:r>
      <w:r w:rsidRPr="00F33FE2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r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w:r w:rsidRPr="00F33FE2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mv/</w:t>
      </w:r>
      <w:proofErr w:type="spellStart"/>
      <w:r w:rsidRPr="00F33FE2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qB</w:t>
      </w:r>
      <w:proofErr w:type="spellEnd"/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. </w:t>
      </w:r>
      <w:r w:rsidRPr="00F33FE2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Methode 2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. Verdubbeling van </w:t>
      </w:r>
      <w:r w:rsidRPr="00F33FE2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q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leidt tot verdubbeling van de Lorentzkracht, enz.</w:t>
      </w:r>
    </w:p>
    <w:p w14:paraId="34A61264" w14:textId="77777777" w:rsidR="00C2552B" w:rsidRPr="00F33FE2" w:rsidRDefault="00C2552B" w:rsidP="00F33FE2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06D1D36E" w14:textId="77777777" w:rsidR="00F33FE2" w:rsidRPr="00F33FE2" w:rsidRDefault="00F33FE2" w:rsidP="00F33FE2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>4.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F33FE2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Tweemaal</w:t>
      </w:r>
      <w:r w:rsidRPr="00F33FE2">
        <w:rPr>
          <w:rFonts w:asciiTheme="majorHAnsi" w:eastAsia="Palatino Linotype" w:hAnsiTheme="majorHAnsi" w:cstheme="majorHAnsi"/>
          <w:color w:val="404040"/>
          <w:sz w:val="28"/>
          <w:szCs w:val="28"/>
        </w:rPr>
        <w:t>. Het uitslaan van de stroommeter geeft aan dat inductie plaatsvindt, d.w.z. de magnetische flux door de spoel verandert. Gedurende die tijd is het magneetje in beweging. Tussen 1,5 en 2,5 s beweegt het naar de spoel toe; tussen 3,0 en 5,0 s bij de spoel vandaan. Tussen 5,5 en 6,5 s weer naar de spoel toe, tussen 6,5 en 7,5 s er weer vandaan.</w:t>
      </w:r>
    </w:p>
    <w:p w14:paraId="58F61FCB" w14:textId="77777777" w:rsidR="00F33FE2" w:rsidRPr="00F33FE2" w:rsidRDefault="00F33FE2" w:rsidP="00F33FE2">
      <w:pPr>
        <w:rPr>
          <w:rFonts w:asciiTheme="majorHAnsi" w:hAnsiTheme="majorHAnsi" w:cstheme="majorHAnsi"/>
          <w:sz w:val="28"/>
          <w:szCs w:val="28"/>
        </w:rPr>
      </w:pPr>
    </w:p>
    <w:p w14:paraId="12708CF3" w14:textId="77777777" w:rsidR="00365FFD" w:rsidRPr="00F33FE2" w:rsidRDefault="00365FFD">
      <w:pPr>
        <w:rPr>
          <w:rFonts w:asciiTheme="majorHAnsi" w:hAnsiTheme="majorHAnsi" w:cstheme="majorHAnsi"/>
          <w:sz w:val="28"/>
          <w:szCs w:val="28"/>
        </w:rPr>
      </w:pPr>
    </w:p>
    <w:sectPr w:rsidR="00365FFD" w:rsidRPr="00F3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E2"/>
    <w:rsid w:val="000F7C21"/>
    <w:rsid w:val="00365FFD"/>
    <w:rsid w:val="005D0561"/>
    <w:rsid w:val="00C2552B"/>
    <w:rsid w:val="00F3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8B8F"/>
  <w15:chartTrackingRefBased/>
  <w15:docId w15:val="{B3E15258-34FD-4EFE-B01A-67ADCF38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3FE2"/>
    <w:pPr>
      <w:spacing w:before="120" w:after="120" w:line="300" w:lineRule="auto"/>
      <w:jc w:val="both"/>
    </w:pPr>
    <w:rPr>
      <w:color w:val="404040" w:themeColor="text1" w:themeTint="BF"/>
      <w:sz w:val="20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F33FE2"/>
    <w:pPr>
      <w:keepNext/>
      <w:spacing w:before="0" w:after="0" w:line="240" w:lineRule="auto"/>
      <w:jc w:val="left"/>
      <w:outlineLvl w:val="0"/>
    </w:pPr>
    <w:rPr>
      <w:rFonts w:ascii="Palatino Linotype" w:eastAsia="Palatino Linotype" w:hAnsi="Palatino Linotype" w:cs="Aharoni"/>
      <w:b/>
      <w:bCs/>
      <w:color w:val="40404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33F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3FE2"/>
    <w:rPr>
      <w:rFonts w:ascii="Segoe UI" w:hAnsi="Segoe UI" w:cs="Segoe UI"/>
      <w:color w:val="404040" w:themeColor="text1" w:themeTint="BF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F33FE2"/>
    <w:rPr>
      <w:rFonts w:ascii="Palatino Linotype" w:eastAsia="Palatino Linotype" w:hAnsi="Palatino Linotype" w:cs="Aharoni"/>
      <w:b/>
      <w:bCs/>
      <w:color w:val="40404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Venema</dc:creator>
  <cp:keywords/>
  <dc:description/>
  <cp:lastModifiedBy>Tess Venema</cp:lastModifiedBy>
  <cp:revision>1</cp:revision>
  <dcterms:created xsi:type="dcterms:W3CDTF">2020-09-24T07:28:00Z</dcterms:created>
  <dcterms:modified xsi:type="dcterms:W3CDTF">2020-09-24T07:44:00Z</dcterms:modified>
</cp:coreProperties>
</file>